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rtl w:val="0"/>
        </w:rPr>
        <w:t xml:space="preserve">MI FINAL. TU COMIENZO.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rtl w:val="0"/>
        </w:rPr>
        <w:t xml:space="preserve">MEIN ENDE. DEIN ANFANG.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Cuando Nora y Arons se conocieron en un día lluvioso en el metro fue amor a primera vista. Para Nora fue una coincidencia; para Arons, el destino. Pero la fatalidad se inmiscuye en sus vidas cuando él recibe un disparo durante un asalto a un banco y fallece en los brazos de Nora. El tiempo se detiene para ella hasta que conoce a un extraño en una noche igualmente extraña y vuelve a tener esa familiar sensación de ya conocerse de antes. Aún no sospecha que algo los conecta. 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¿Alguna vez has tenido un déjà vu? ¿Has conocido a alguien que pensabas que ya conocías?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Mi final. Tu comienzo.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propone develar los mecanismos que hay detrás de esas sensaciones tan potentes que todos hemos experimentado alguna vez. Una historia en la que conviven el romance y la ciencia-ficción en una propuesta armoniosa y orgánica entre estos dos géneros tan difíciles de abordar y que marcan el debut en la dirección de Mariko Minoguchi, también autora del guion.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MARIKO MINOGUCHI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Nació en 1988 en Múnich de padre japonés y madre alemana. Tras finalizar sus estudios, participó en numerosas producciones para televisión y cine desempeñando pasantías en el área de producción, dirección, dirección de fotografía y escenografía. En 2007, rodó el cortometraje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Maybe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financiado por la Central Regional de Baviera para los Nuevos Medios de Comunicación, y obtuvo el Premio Bávaro de Cine Juvenil. En 2010, realizó los cortometrajes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Lieben allein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y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Geschwisterherzen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Trabajó en la producción de los cortometrajes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Wie Du küsst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(2012) y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 Remember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(2015). En 2012, Minoguchi estrenó en el 46º Festival Internacional de Cine de Hof el cortometraje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Karlstod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que se exhibió y fue premiado en más de 30 festivales nacionales e internacionales. En colaboración con el director Tim Fehlbaum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Hell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), ha escrito el guion de la coproducción internacional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Haven: Above Sky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película de aventuras y ciencia ficción que llegará a las salas de cine en 2020.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Mein Ende. Dein Anfang.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 su primera película como directora.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highlight w:val="yellow"/>
          <w:rtl w:val="0"/>
        </w:rPr>
        <w:br w:type="textWrapping"/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Mariko Minoguchi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Guion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Mariko Minoguchi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de fotografía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Julian Krubasik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Montaje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Andreas Menn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Productores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Trini Götze, David Armati Lechner, Thomas Wöbke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Producción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Trimafilm, Berghauswöbke Filmproduktion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Intérpretes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Saskia Rosendahl, Edin Hasanović, Julius Feldmeier, Emanuela von Frankenberg, Hanns Zischler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Año de producción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2019</w:t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Duración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111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min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1fob9te" w:id="1"/>
      <w:bookmarkEnd w:id="1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Versión original </w:t>
      </w:r>
      <w:r w:rsidDel="00000000" w:rsidR="00000000" w:rsidRPr="00000000">
        <w:rPr>
          <w:rFonts w:ascii="Arial" w:cs="Arial" w:eastAsia="Arial" w:hAnsi="Arial"/>
          <w:rtl w:val="0"/>
        </w:rPr>
        <w:t xml:space="preserve">alemán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Subtitulado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castellano 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Subvencionado por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FFF Bayern, BKM, DFFF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Festivales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Múnich 2019, Londres 2019, Varsovia 2019, Gotemburgo 2020, Cleveland 2020, Aubagne 2020, </w:t>
      </w:r>
      <w:r w:rsidDel="00000000" w:rsidR="00000000" w:rsidRPr="00000000">
        <w:rPr>
          <w:rFonts w:ascii="Arial" w:cs="Arial" w:eastAsia="Arial" w:hAnsi="Arial"/>
          <w:rtl w:val="0"/>
        </w:rPr>
        <w:t xml:space="preserve">Shanghai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Premios </w:t>
      </w:r>
      <w:r w:rsidDel="00000000" w:rsidR="00000000" w:rsidRPr="00000000">
        <w:rPr>
          <w:rFonts w:ascii="Arial" w:cs="Arial" w:eastAsia="Arial" w:hAnsi="Arial"/>
          <w:rtl w:val="0"/>
        </w:rPr>
        <w:t xml:space="preserve">Premio de la Asociación de Críticos de Cine de Alemania 2020 (Mejor Guion, Mejor Ópera Prima)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VENTAS INTERNACIONALES</w:t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Global Screen GmbH</w:t>
      </w:r>
    </w:p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Sonnenstr. 21</w:t>
      </w:r>
    </w:p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80331 Múnich, Alemania</w:t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www.globalscreen.de</w:t>
      </w:r>
    </w:p>
    <w:sectPr>
      <w:headerReference r:id="rId7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after="0" w:lineRule="auto"/>
      <w:rPr/>
    </w:pPr>
    <w:r w:rsidDel="00000000" w:rsidR="00000000" w:rsidRPr="00000000">
      <w:rPr>
        <w:rtl w:val="0"/>
      </w:rPr>
      <w:t xml:space="preserve"> </w:t>
      <w:tab/>
      <w:t xml:space="preserve"> 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b="0" l="0" r="0" t="0"/>
          <wp:wrapSquare wrapText="bothSides" distB="0" distT="0" distL="114300" distR="114300"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862330" cy="438785"/>
          <wp:effectExtent b="0" l="0" r="0" t="0"/>
          <wp:wrapSquare wrapText="bothSides" distB="0" distT="0" distL="114300" distR="11430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7FD9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link w:val="Ttulo2Car"/>
    <w:uiPriority w:val="9"/>
    <w:qFormat w:val="1"/>
    <w:rsid w:val="00F9778D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49F9"/>
    <w:pPr>
      <w:keepNext w:val="1"/>
      <w:spacing w:after="60" w:before="240"/>
      <w:outlineLvl w:val="2"/>
    </w:pPr>
    <w:rPr>
      <w:rFonts w:ascii="Calibri Light" w:eastAsia="Times New Roman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75185C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2Car" w:customStyle="1">
    <w:name w:val="Título 2 Car"/>
    <w:link w:val="Ttulo2"/>
    <w:uiPriority w:val="9"/>
    <w:rsid w:val="00F9778D"/>
    <w:rPr>
      <w:rFonts w:ascii="Times New Roman" w:cs="Times New Roman" w:eastAsia="Times New Roman" w:hAnsi="Times New Roman"/>
      <w:b w:val="1"/>
      <w:bCs w:val="1"/>
      <w:sz w:val="36"/>
      <w:szCs w:val="36"/>
      <w:lang w:eastAsia="es-AR"/>
    </w:rPr>
  </w:style>
  <w:style w:type="character" w:styleId="Textoennegrita">
    <w:name w:val="Strong"/>
    <w:uiPriority w:val="22"/>
    <w:qFormat w:val="1"/>
    <w:rsid w:val="00F9778D"/>
    <w:rPr>
      <w:b w:val="1"/>
      <w:bCs w:val="1"/>
    </w:rPr>
  </w:style>
  <w:style w:type="paragraph" w:styleId="Encabezado">
    <w:name w:val="header"/>
    <w:basedOn w:val="Normal"/>
    <w:link w:val="Encabezado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styleId="Ttulo3Car" w:customStyle="1">
    <w:name w:val="Título 3 Car"/>
    <w:link w:val="Ttulo3"/>
    <w:uiPriority w:val="9"/>
    <w:semiHidden w:val="1"/>
    <w:rsid w:val="009649F9"/>
    <w:rPr>
      <w:rFonts w:ascii="Calibri Light" w:cs="Times New Roman" w:eastAsia="Times New Roman" w:hAnsi="Calibri Light"/>
      <w:b w:val="1"/>
      <w:bCs w:val="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rsid w:val="009649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 w:val="1"/>
    <w:rsid w:val="00934210"/>
    <w:rPr>
      <w:color w:val="0563c1" w:themeColor="hyperlink"/>
      <w:u w:val="single"/>
    </w:rPr>
  </w:style>
  <w:style w:type="character" w:styleId="apple-converted-space" w:customStyle="1">
    <w:name w:val="apple-converted-space"/>
    <w:basedOn w:val="Fuentedeprrafopredeter"/>
    <w:rsid w:val="00934210"/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75185C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paragraph" w:styleId="Poromisin" w:customStyle="1">
    <w:name w:val="Por omisión"/>
    <w:rsid w:val="002E17C6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Helvetica" w:cs="Helvetica" w:eastAsia="Helvetica" w:hAnsi="Helvetica"/>
      <w:color w:val="000000"/>
      <w:bdr w:space="0" w:sz="0" w:val="nil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8687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86875"/>
    <w:rPr>
      <w:rFonts w:ascii="Segoe UI" w:cs="Segoe UI" w:hAnsi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ZSpV0F2AUbHjRMGqtB8s+TMUXg==">AMUW2mWx88KV4sRaXfw+OyiF8P0eWTS9jqg3fqPU9znau0dOQrvRzeYeGdzXF2imLxT6lJYxD0D3/d8U/NMaEixt+LWwxMDN3JbYnZwhGkelHOgo2MJ2gFcuWABW6Z9dFPamVNcagTLCb+RNZsud5FvtbndNk9Xjqg==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2020-06-22T14:00:00Z</dcterms:created>
  <dc:creator>REM</dc:creator>
</cp:coreProperties>
</file>